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771C" w:rsidRDefault="000F7134">
      <w:hyperlink r:id="rId4" w:history="1">
        <w:r w:rsidRPr="000F7134">
          <w:rPr>
            <w:rStyle w:val="Hyperlink"/>
          </w:rPr>
          <w:t>https://www.cambridge.org/core/journals/mrs-online-proceedings-library-archive/article/effects-of-possible-spinspin-interactions-on-epr-spectra-of-cu2-exchanged-faujasitex-i/A47CCB6E1A2A7D6D7F29F423E75180EF</w:t>
        </w:r>
      </w:hyperlink>
      <w:bookmarkStart w:id="0" w:name="_GoBack"/>
      <w:bookmarkEnd w:id="0"/>
    </w:p>
    <w:sectPr w:rsidR="006677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7134"/>
    <w:rsid w:val="000F7134"/>
    <w:rsid w:val="00667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57DEA6-043F-499E-992A-4C2096C0C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F713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ambridge.org/core/journals/mrs-online-proceedings-library-archive/article/effects-of-possible-spinspin-interactions-on-epr-spectra-of-cu2-exchanged-faujasitex-i/A47CCB6E1A2A7D6D7F29F423E75180E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2020-08-10T08:26:00Z</dcterms:created>
  <dcterms:modified xsi:type="dcterms:W3CDTF">2020-08-10T08:26:00Z</dcterms:modified>
</cp:coreProperties>
</file>